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B" w:rsidRDefault="00F2703B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3D3A28" w:rsidRDefault="00AB68AF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 xml:space="preserve">El </w:t>
      </w:r>
      <w:r w:rsidRPr="00AB407C">
        <w:rPr>
          <w:rFonts w:ascii="MyriadPro" w:eastAsia="Times New Roman" w:hAnsi="MyriadPro" w:cs="Times New Roman"/>
          <w:iCs/>
          <w:lang w:eastAsia="es-AR"/>
        </w:rPr>
        <w:t>Nuevo Código</w:t>
      </w:r>
      <w:r>
        <w:rPr>
          <w:rFonts w:ascii="MyriadPro" w:eastAsia="Times New Roman" w:hAnsi="MyriadPro" w:cs="Times New Roman"/>
          <w:iCs/>
          <w:lang w:eastAsia="es-AR"/>
        </w:rPr>
        <w:t xml:space="preserve"> Civil y Comercial de la Nación (en adelante “CCyC”), pronto a entrar en vigencia -1 de Agosto del corriente- incorpora </w:t>
      </w:r>
      <w:r w:rsidR="003D3A28">
        <w:rPr>
          <w:rFonts w:ascii="MyriadPro" w:eastAsia="Times New Roman" w:hAnsi="MyriadPro" w:cs="Times New Roman"/>
          <w:iCs/>
          <w:lang w:eastAsia="es-AR"/>
        </w:rPr>
        <w:t xml:space="preserve">a las denominadas </w:t>
      </w:r>
      <w:r w:rsidR="003D3A28" w:rsidRPr="003D3A28">
        <w:rPr>
          <w:rFonts w:ascii="MyriadPro" w:eastAsia="Times New Roman" w:hAnsi="MyriadPro" w:cs="Times New Roman"/>
          <w:b/>
          <w:iCs/>
          <w:lang w:eastAsia="es-AR"/>
        </w:rPr>
        <w:t>“Comfor</w:t>
      </w:r>
      <w:r w:rsidR="003D3A28">
        <w:rPr>
          <w:rFonts w:ascii="MyriadPro" w:eastAsia="Times New Roman" w:hAnsi="MyriadPro" w:cs="Times New Roman"/>
          <w:b/>
          <w:iCs/>
          <w:lang w:eastAsia="es-AR"/>
        </w:rPr>
        <w:t>t</w:t>
      </w:r>
      <w:r w:rsidR="003D3A28" w:rsidRPr="003D3A28">
        <w:rPr>
          <w:rFonts w:ascii="MyriadPro" w:eastAsia="Times New Roman" w:hAnsi="MyriadPro" w:cs="Times New Roman"/>
          <w:b/>
          <w:iCs/>
          <w:lang w:eastAsia="es-AR"/>
        </w:rPr>
        <w:t xml:space="preserve"> Letter”</w:t>
      </w:r>
      <w:r w:rsidR="003D3A28">
        <w:rPr>
          <w:rFonts w:ascii="MyriadPro" w:eastAsia="Times New Roman" w:hAnsi="MyriadPro" w:cs="Times New Roman"/>
          <w:iCs/>
          <w:lang w:eastAsia="es-AR"/>
        </w:rPr>
        <w:t>, en la sección 1°</w:t>
      </w:r>
      <w:r w:rsidR="00EF0AC6">
        <w:rPr>
          <w:rFonts w:ascii="MyriadPro" w:eastAsia="Times New Roman" w:hAnsi="MyriadPro" w:cs="Times New Roman"/>
          <w:iCs/>
          <w:lang w:eastAsia="es-AR"/>
        </w:rPr>
        <w:t>,</w:t>
      </w:r>
      <w:r w:rsidR="003D3A28">
        <w:rPr>
          <w:rFonts w:ascii="MyriadPro" w:eastAsia="Times New Roman" w:hAnsi="MyriadPro" w:cs="Times New Roman"/>
          <w:iCs/>
          <w:lang w:eastAsia="es-AR"/>
        </w:rPr>
        <w:t xml:space="preserve"> del Capítulo 23</w:t>
      </w:r>
      <w:r w:rsidR="00EF0AC6">
        <w:rPr>
          <w:rFonts w:ascii="MyriadPro" w:eastAsia="Times New Roman" w:hAnsi="MyriadPro" w:cs="Times New Roman"/>
          <w:iCs/>
          <w:lang w:eastAsia="es-AR"/>
        </w:rPr>
        <w:t xml:space="preserve"> </w:t>
      </w:r>
      <w:r w:rsidR="00EF0AC6">
        <w:rPr>
          <w:rFonts w:ascii="MyriadPro" w:eastAsia="Times New Roman" w:hAnsi="MyriadPro" w:cs="Times New Roman"/>
          <w:i/>
          <w:iCs/>
          <w:lang w:eastAsia="es-AR"/>
        </w:rPr>
        <w:t>“Fianza”,</w:t>
      </w:r>
      <w:r w:rsidR="003D3A28">
        <w:rPr>
          <w:rFonts w:ascii="MyriadPro" w:eastAsia="Times New Roman" w:hAnsi="MyriadPro" w:cs="Times New Roman"/>
          <w:iCs/>
          <w:lang w:eastAsia="es-AR"/>
        </w:rPr>
        <w:t xml:space="preserve"> del Libro Tercero</w:t>
      </w:r>
      <w:r>
        <w:rPr>
          <w:rFonts w:ascii="MyriadPro" w:eastAsia="Times New Roman" w:hAnsi="MyriadPro" w:cs="Times New Roman"/>
          <w:iCs/>
          <w:lang w:eastAsia="es-AR"/>
        </w:rPr>
        <w:t>,</w:t>
      </w:r>
      <w:r w:rsidR="003D3A28">
        <w:rPr>
          <w:rFonts w:ascii="MyriadPro" w:eastAsia="Times New Roman" w:hAnsi="MyriadPro" w:cs="Times New Roman"/>
          <w:iCs/>
          <w:lang w:eastAsia="es-AR"/>
        </w:rPr>
        <w:t xml:space="preserve"> a las cuales se la suele conocer como Carta de Patronazgo o Carta de Intenciones.</w:t>
      </w:r>
    </w:p>
    <w:p w:rsidR="004F587A" w:rsidRDefault="004F587A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2E6379" w:rsidRDefault="002E6379" w:rsidP="002E6379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>Estos instrumentos son de origen anglosajón, exigidos por los Bancos a las controlantes de las empresas beneficiarias de las asistencias financieras o créditos a otorgar. Son una herramienta que facilitan la obtención de financiamientos y que son, particularmente, utilizadas por grupos empresarios, al no verse modificada la contabilidad de la controlante.</w:t>
      </w:r>
    </w:p>
    <w:p w:rsidR="002E6379" w:rsidRDefault="002E6379" w:rsidP="002E6379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4F587A" w:rsidRPr="004F587A" w:rsidRDefault="003D3A28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>Las comfort letter consisten en una obligación de hacer, asimilable a las garantías pers</w:t>
      </w:r>
      <w:r w:rsidR="004F587A">
        <w:rPr>
          <w:rFonts w:ascii="MyriadPro" w:eastAsia="Times New Roman" w:hAnsi="MyriadPro" w:cs="Times New Roman"/>
          <w:iCs/>
          <w:lang w:eastAsia="es-AR"/>
        </w:rPr>
        <w:t>onales, en virtud de las cuales, conforme surge del art. 158</w:t>
      </w:r>
      <w:r w:rsidR="00D31174">
        <w:rPr>
          <w:rFonts w:ascii="MyriadPro" w:eastAsia="Times New Roman" w:hAnsi="MyriadPro" w:cs="Times New Roman"/>
          <w:iCs/>
          <w:lang w:eastAsia="es-AR"/>
        </w:rPr>
        <w:t>2</w:t>
      </w:r>
      <w:r w:rsidR="004F587A">
        <w:rPr>
          <w:rFonts w:ascii="MyriadPro" w:eastAsia="Times New Roman" w:hAnsi="MyriadPro" w:cs="Times New Roman"/>
          <w:iCs/>
          <w:lang w:eastAsia="es-AR"/>
        </w:rPr>
        <w:t xml:space="preserve"> del CCyC, el otorgante se compromete a </w:t>
      </w:r>
      <w:r w:rsidR="004F587A" w:rsidRPr="004F587A">
        <w:rPr>
          <w:rFonts w:ascii="MyriadPro" w:eastAsia="Times New Roman" w:hAnsi="MyriadPro" w:cs="Times New Roman"/>
          <w:i/>
          <w:iCs/>
          <w:lang w:eastAsia="es-AR"/>
        </w:rPr>
        <w:t>“…mantener o generar una determinada situación de hecho o de derecho…”</w:t>
      </w:r>
      <w:r w:rsidR="004F587A">
        <w:rPr>
          <w:rFonts w:ascii="MyriadPro" w:eastAsia="Times New Roman" w:hAnsi="MyriadPro" w:cs="Times New Roman"/>
          <w:i/>
          <w:iCs/>
          <w:lang w:eastAsia="es-AR"/>
        </w:rPr>
        <w:t xml:space="preserve">. </w:t>
      </w:r>
      <w:r w:rsidR="004F587A" w:rsidRPr="004F587A">
        <w:rPr>
          <w:rFonts w:ascii="MyriadPro" w:eastAsia="Times New Roman" w:hAnsi="MyriadPro" w:cs="Times New Roman"/>
          <w:iCs/>
          <w:lang w:eastAsia="es-AR"/>
        </w:rPr>
        <w:t>Éstas suelen ser confundidas con la Fianza, Carta de Crédito o Carta de recomendación.</w:t>
      </w:r>
    </w:p>
    <w:p w:rsidR="004F587A" w:rsidRDefault="004F587A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13128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>Son garantías que las ponen en prácticas los holdings, cuyo controlante con capacidad económica y financiera, para facilitar el crédito a su subsidiaria, se compromete a mantener su participación mayoritaria o que ésta última tendrá suficiente capacidad de pago de los servicios del préstamo, generando la confianza del Banco dador.</w:t>
      </w:r>
    </w:p>
    <w:p w:rsidR="001C27FC" w:rsidRDefault="001C27FC" w:rsidP="001C27FC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1C27FC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 xml:space="preserve">Si bien, el compromiso se limita meramente a mantener inalterable la situación de hecho o de derecho que asume el otorgante de la Comfort Letter, es decir, no se garantiza el pago del crédito otorgado, dicho compromiso </w:t>
      </w:r>
      <w:r w:rsidR="00EF0AC6">
        <w:rPr>
          <w:rFonts w:ascii="MyriadPro" w:eastAsia="Times New Roman" w:hAnsi="MyriadPro" w:cs="Times New Roman"/>
          <w:iCs/>
          <w:lang w:eastAsia="es-AR"/>
        </w:rPr>
        <w:t xml:space="preserve">suele ser </w:t>
      </w:r>
      <w:r>
        <w:rPr>
          <w:rFonts w:ascii="MyriadPro" w:eastAsia="Times New Roman" w:hAnsi="MyriadPro" w:cs="Times New Roman"/>
          <w:iCs/>
          <w:lang w:eastAsia="es-AR"/>
        </w:rPr>
        <w:t>una condición sine qua non que permite el otorgamiento del crédito.</w:t>
      </w:r>
    </w:p>
    <w:p w:rsidR="0013128F" w:rsidRDefault="0013128F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3128F" w:rsidRDefault="0013128F" w:rsidP="0013128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>De esa manera, con la inclusión del art. 158</w:t>
      </w:r>
      <w:r w:rsidR="00D31174">
        <w:rPr>
          <w:rFonts w:ascii="MyriadPro" w:eastAsia="Times New Roman" w:hAnsi="MyriadPro" w:cs="Times New Roman"/>
          <w:iCs/>
          <w:lang w:eastAsia="es-AR"/>
        </w:rPr>
        <w:t>2</w:t>
      </w:r>
      <w:r>
        <w:rPr>
          <w:rFonts w:ascii="MyriadPro" w:eastAsia="Times New Roman" w:hAnsi="MyriadPro" w:cs="Times New Roman"/>
          <w:iCs/>
          <w:lang w:eastAsia="es-AR"/>
        </w:rPr>
        <w:t xml:space="preserve"> mencionado, si la situación se ve alterada y/o modificada (incumplimiento), antes de que se cancelen los servicios de deuda del préstamo otorgado, acarrea consecuencias jurídicas para el obligado, rigiéndose por las reglas de </w:t>
      </w:r>
      <w:r w:rsidR="001632AC">
        <w:rPr>
          <w:rFonts w:ascii="MyriadPro" w:eastAsia="Times New Roman" w:hAnsi="MyriadPro" w:cs="Times New Roman"/>
          <w:iCs/>
          <w:lang w:eastAsia="es-AR"/>
        </w:rPr>
        <w:t xml:space="preserve">la </w:t>
      </w:r>
      <w:bookmarkStart w:id="0" w:name="_GoBack"/>
      <w:bookmarkEnd w:id="0"/>
      <w:r>
        <w:rPr>
          <w:rFonts w:ascii="MyriadPro" w:eastAsia="Times New Roman" w:hAnsi="MyriadPro" w:cs="Times New Roman"/>
          <w:iCs/>
          <w:lang w:eastAsia="es-AR"/>
        </w:rPr>
        <w:t xml:space="preserve">responsabilidad. </w:t>
      </w:r>
    </w:p>
    <w:p w:rsidR="001C27FC" w:rsidRDefault="001C27FC" w:rsidP="0013128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EF0AC6" w:rsidRDefault="00EF0AC6" w:rsidP="00EF0AC6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>Algunos se mostraban reticentes a reconocer la fuerza vinculante de estas Cartas, ya que no consisten en una Fianza propiamente dicha, tal como lo establece el art. 158</w:t>
      </w:r>
      <w:r w:rsidR="00D31174">
        <w:rPr>
          <w:rFonts w:ascii="MyriadPro" w:eastAsia="Times New Roman" w:hAnsi="MyriadPro" w:cs="Times New Roman"/>
          <w:iCs/>
          <w:lang w:eastAsia="es-AR"/>
        </w:rPr>
        <w:t>2</w:t>
      </w:r>
      <w:r>
        <w:rPr>
          <w:rFonts w:ascii="MyriadPro" w:eastAsia="Times New Roman" w:hAnsi="MyriadPro" w:cs="Times New Roman"/>
          <w:iCs/>
          <w:lang w:eastAsia="es-AR"/>
        </w:rPr>
        <w:t xml:space="preserve"> </w:t>
      </w:r>
      <w:r>
        <w:rPr>
          <w:rFonts w:ascii="MyriadPro" w:eastAsia="Times New Roman" w:hAnsi="MyriadPro" w:cs="Times New Roman"/>
          <w:i/>
          <w:iCs/>
          <w:lang w:eastAsia="es-AR"/>
        </w:rPr>
        <w:t>“…no es considerado fianza…”</w:t>
      </w:r>
      <w:r>
        <w:rPr>
          <w:rFonts w:ascii="MyriadPro" w:eastAsia="Times New Roman" w:hAnsi="MyriadPro" w:cs="Times New Roman"/>
          <w:iCs/>
          <w:lang w:eastAsia="es-AR"/>
        </w:rPr>
        <w:t>; pero sin embargo, no deja de ser una garantía, no dejan de generar la confianza que se requiere en el comercio.</w:t>
      </w:r>
    </w:p>
    <w:p w:rsidR="00EF0AC6" w:rsidRDefault="00EF0AC6" w:rsidP="00EF0AC6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2E6379" w:rsidP="0013128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  <w:r>
        <w:rPr>
          <w:rFonts w:ascii="MyriadPro" w:eastAsia="Times New Roman" w:hAnsi="MyriadPro" w:cs="Times New Roman"/>
          <w:iCs/>
          <w:lang w:eastAsia="es-AR"/>
        </w:rPr>
        <w:t xml:space="preserve">Por lo dicho, se le da expreso reconocimiento a las Comfort Letter, salvando así los vacíos que generaban incertidumbre e inseguridad jurídica en </w:t>
      </w:r>
      <w:r w:rsidR="004D6527">
        <w:rPr>
          <w:rFonts w:ascii="MyriadPro" w:eastAsia="Times New Roman" w:hAnsi="MyriadPro" w:cs="Times New Roman"/>
          <w:iCs/>
          <w:lang w:eastAsia="es-AR"/>
        </w:rPr>
        <w:t>comercio</w:t>
      </w:r>
      <w:r>
        <w:rPr>
          <w:rFonts w:ascii="MyriadPro" w:eastAsia="Times New Roman" w:hAnsi="MyriadPro" w:cs="Times New Roman"/>
          <w:iCs/>
          <w:lang w:eastAsia="es-AR"/>
        </w:rPr>
        <w:t xml:space="preserve">, y no solo eso, sino que se le confiere </w:t>
      </w:r>
      <w:r w:rsidR="001C27FC">
        <w:rPr>
          <w:rFonts w:ascii="MyriadPro" w:eastAsia="Times New Roman" w:hAnsi="MyriadPro" w:cs="Times New Roman"/>
          <w:iCs/>
          <w:lang w:eastAsia="es-AR"/>
        </w:rPr>
        <w:t>un carácte</w:t>
      </w:r>
      <w:r>
        <w:rPr>
          <w:rFonts w:ascii="MyriadPro" w:eastAsia="Times New Roman" w:hAnsi="MyriadPro" w:cs="Times New Roman"/>
          <w:iCs/>
          <w:lang w:eastAsia="es-AR"/>
        </w:rPr>
        <w:t>r vinculante.</w:t>
      </w:r>
    </w:p>
    <w:p w:rsidR="001C27FC" w:rsidRDefault="001C27FC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1C27FC" w:rsidRDefault="001C27FC" w:rsidP="00B23A0F">
      <w:pPr>
        <w:spacing w:after="0" w:line="240" w:lineRule="auto"/>
        <w:rPr>
          <w:rFonts w:ascii="MyriadPro" w:eastAsia="Times New Roman" w:hAnsi="MyriadPro" w:cs="Times New Roman"/>
          <w:iCs/>
          <w:lang w:eastAsia="es-AR"/>
        </w:rPr>
      </w:pPr>
    </w:p>
    <w:p w:rsidR="003F4D13" w:rsidRDefault="003F4D13">
      <w:pPr>
        <w:spacing w:after="0" w:line="240" w:lineRule="auto"/>
        <w:rPr>
          <w:lang w:val="es-ES"/>
        </w:rPr>
      </w:pPr>
    </w:p>
    <w:p w:rsidR="00EF0AC6" w:rsidRPr="00AB407C" w:rsidRDefault="00EF0AC6">
      <w:pPr>
        <w:spacing w:after="0" w:line="240" w:lineRule="auto"/>
        <w:rPr>
          <w:rFonts w:ascii="MyriadPro" w:eastAsia="Times New Roman" w:hAnsi="MyriadPro" w:cs="Times New Roman"/>
          <w:i/>
          <w:iCs/>
          <w:color w:val="444444"/>
          <w:lang w:eastAsia="es-AR"/>
        </w:rPr>
      </w:pPr>
    </w:p>
    <w:sectPr w:rsidR="00EF0AC6" w:rsidRPr="00AB407C" w:rsidSect="002E6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8F" w:rsidRDefault="00AA298F" w:rsidP="002C4D18">
      <w:pPr>
        <w:spacing w:after="0" w:line="240" w:lineRule="auto"/>
      </w:pPr>
      <w:r>
        <w:separator/>
      </w:r>
    </w:p>
  </w:endnote>
  <w:endnote w:type="continuationSeparator" w:id="0">
    <w:p w:rsidR="00AA298F" w:rsidRDefault="00AA298F" w:rsidP="002C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8F" w:rsidRDefault="00AA298F" w:rsidP="002C4D18">
      <w:pPr>
        <w:spacing w:after="0" w:line="240" w:lineRule="auto"/>
      </w:pPr>
      <w:r>
        <w:separator/>
      </w:r>
    </w:p>
  </w:footnote>
  <w:footnote w:type="continuationSeparator" w:id="0">
    <w:p w:rsidR="00AA298F" w:rsidRDefault="00AA298F" w:rsidP="002C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973"/>
    <w:multiLevelType w:val="hybridMultilevel"/>
    <w:tmpl w:val="D4FA39AC"/>
    <w:lvl w:ilvl="0" w:tplc="A636F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320A"/>
    <w:multiLevelType w:val="multilevel"/>
    <w:tmpl w:val="E97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8"/>
    <w:rsid w:val="00037BC8"/>
    <w:rsid w:val="000A6101"/>
    <w:rsid w:val="000F4844"/>
    <w:rsid w:val="0013128F"/>
    <w:rsid w:val="001632AC"/>
    <w:rsid w:val="001C27FC"/>
    <w:rsid w:val="001C4EAC"/>
    <w:rsid w:val="001C7ACA"/>
    <w:rsid w:val="001E69EB"/>
    <w:rsid w:val="001F5B1B"/>
    <w:rsid w:val="00231829"/>
    <w:rsid w:val="00253B9A"/>
    <w:rsid w:val="002A7813"/>
    <w:rsid w:val="002C4D18"/>
    <w:rsid w:val="002E6379"/>
    <w:rsid w:val="003554C6"/>
    <w:rsid w:val="00364A17"/>
    <w:rsid w:val="00383938"/>
    <w:rsid w:val="003B25C2"/>
    <w:rsid w:val="003D3A28"/>
    <w:rsid w:val="003F4D13"/>
    <w:rsid w:val="00491B1C"/>
    <w:rsid w:val="004D6527"/>
    <w:rsid w:val="004F587A"/>
    <w:rsid w:val="00526132"/>
    <w:rsid w:val="00566D7F"/>
    <w:rsid w:val="0058022C"/>
    <w:rsid w:val="006052CF"/>
    <w:rsid w:val="00611EAD"/>
    <w:rsid w:val="006136E8"/>
    <w:rsid w:val="006712CA"/>
    <w:rsid w:val="00686ECD"/>
    <w:rsid w:val="007032FF"/>
    <w:rsid w:val="00723E1C"/>
    <w:rsid w:val="00727B36"/>
    <w:rsid w:val="00770A88"/>
    <w:rsid w:val="007C20ED"/>
    <w:rsid w:val="00804390"/>
    <w:rsid w:val="00872800"/>
    <w:rsid w:val="008C7CF9"/>
    <w:rsid w:val="0090230B"/>
    <w:rsid w:val="00915C9C"/>
    <w:rsid w:val="009358B5"/>
    <w:rsid w:val="009B5F58"/>
    <w:rsid w:val="00A2570F"/>
    <w:rsid w:val="00A641C6"/>
    <w:rsid w:val="00A85587"/>
    <w:rsid w:val="00AA298F"/>
    <w:rsid w:val="00AB07F7"/>
    <w:rsid w:val="00AB407C"/>
    <w:rsid w:val="00AB68AF"/>
    <w:rsid w:val="00B23A0F"/>
    <w:rsid w:val="00BA1709"/>
    <w:rsid w:val="00C22DD1"/>
    <w:rsid w:val="00C57682"/>
    <w:rsid w:val="00C807BD"/>
    <w:rsid w:val="00CC7148"/>
    <w:rsid w:val="00CD2F4E"/>
    <w:rsid w:val="00D31174"/>
    <w:rsid w:val="00D4608C"/>
    <w:rsid w:val="00D564D7"/>
    <w:rsid w:val="00D7463C"/>
    <w:rsid w:val="00EB229F"/>
    <w:rsid w:val="00EF0AC6"/>
    <w:rsid w:val="00F2703B"/>
    <w:rsid w:val="00F40D56"/>
    <w:rsid w:val="00FA212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51A442-367D-4079-8B44-D0F6CDD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83938"/>
    <w:pPr>
      <w:spacing w:before="300" w:after="225" w:line="240" w:lineRule="auto"/>
      <w:outlineLvl w:val="2"/>
    </w:pPr>
    <w:rPr>
      <w:rFonts w:ascii="Arial" w:eastAsia="Times New Roman" w:hAnsi="Arial" w:cs="Arial"/>
      <w:b/>
      <w:bCs/>
      <w:color w:val="444444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3938"/>
    <w:rPr>
      <w:rFonts w:ascii="Arial" w:eastAsia="Times New Roman" w:hAnsi="Arial" w:cs="Arial"/>
      <w:b/>
      <w:bCs/>
      <w:color w:val="444444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3938"/>
    <w:rPr>
      <w:b/>
      <w:bCs/>
    </w:rPr>
  </w:style>
  <w:style w:type="paragraph" w:styleId="NormalWeb">
    <w:name w:val="Normal (Web)"/>
    <w:basedOn w:val="Normal"/>
    <w:uiPriority w:val="99"/>
    <w:unhideWhenUsed/>
    <w:rsid w:val="00383938"/>
    <w:pPr>
      <w:spacing w:before="150" w:after="225" w:line="360" w:lineRule="atLeas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383938"/>
    <w:pPr>
      <w:spacing w:before="150" w:after="225" w:line="360" w:lineRule="atLeast"/>
    </w:pPr>
    <w:rPr>
      <w:rFonts w:ascii="Times New Roman" w:eastAsia="Times New Roman" w:hAnsi="Times New Roman" w:cs="Times New Roman"/>
      <w:i/>
      <w:iCs/>
      <w:color w:val="444444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9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4D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C4D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4D18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85587"/>
    <w:rPr>
      <w:color w:val="0000FF"/>
      <w:u w:val="single"/>
    </w:rPr>
  </w:style>
  <w:style w:type="paragraph" w:customStyle="1" w:styleId="content">
    <w:name w:val="content"/>
    <w:basedOn w:val="Normal"/>
    <w:rsid w:val="004F587A"/>
    <w:pPr>
      <w:spacing w:before="120" w:after="120" w:line="240" w:lineRule="atLeast"/>
      <w:ind w:left="300"/>
    </w:pPr>
    <w:rPr>
      <w:rFonts w:ascii="Arial" w:eastAsia="Times New Roman" w:hAnsi="Arial" w:cs="Arial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64DC-1785-4943-8F58-4BC8EC69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ABATE MORENO,IGNACIO</dc:creator>
  <cp:lastModifiedBy>ABATE MORENO,IGNACIO</cp:lastModifiedBy>
  <cp:revision>5</cp:revision>
  <cp:lastPrinted>2015-04-21T16:07:00Z</cp:lastPrinted>
  <dcterms:created xsi:type="dcterms:W3CDTF">2015-07-30T20:09:00Z</dcterms:created>
  <dcterms:modified xsi:type="dcterms:W3CDTF">2015-08-04T18:47:00Z</dcterms:modified>
</cp:coreProperties>
</file>